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C0" w:rsidRPr="00D5550C" w:rsidRDefault="005379C0" w:rsidP="005379C0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7" w:history="1"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Kouyoumdjian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JA (2006) Peripheral nerve injuries: a ret</w:t>
        </w:r>
        <w:r w:rsidR="00D5550C">
          <w:rPr>
            <w:rStyle w:val="Hyperlink"/>
            <w:rFonts w:ascii="Cambria" w:hAnsi="Cambria"/>
            <w:sz w:val="16"/>
            <w:szCs w:val="16"/>
          </w:rPr>
          <w:t xml:space="preserve">rospective survey of 456 cases. </w:t>
        </w:r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Muscle </w:t>
        </w:r>
        <w:r w:rsidR="00D5550C">
          <w:rPr>
            <w:rStyle w:val="Hyperlink"/>
            <w:rFonts w:ascii="Cambria" w:hAnsi="Cambria"/>
            <w:sz w:val="16"/>
            <w:szCs w:val="16"/>
          </w:rPr>
          <w:t xml:space="preserve">Nerve </w:t>
        </w:r>
        <w:r w:rsidR="005379C0" w:rsidRPr="00D5550C">
          <w:rPr>
            <w:rStyle w:val="Hyperlink"/>
            <w:rFonts w:ascii="Cambria" w:hAnsi="Cambria"/>
            <w:sz w:val="16"/>
            <w:szCs w:val="16"/>
          </w:rPr>
          <w:t>34(6): 785-788.</w:t>
        </w:r>
      </w:hyperlink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8" w:history="1"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Siemionow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M,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Brzezicki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G (2009) Current techniques and concepts in peripheral nerve repair.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Int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Rev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Neurobiol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87: 141-172.</w:t>
        </w:r>
      </w:hyperlink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9" w:history="1"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Thomson JG (2005) Median and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ulnar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nerve injuries: A meta-analysis of predictors of motor and sensory recovery after modern microsurgical nerve repair: Discussion.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Plast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Reconstr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Surg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116(2): 495-496.</w:t>
        </w:r>
      </w:hyperlink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10" w:history="1"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Brushart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TME (1991) </w:t>
        </w:r>
        <w:proofErr w:type="gram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The</w:t>
        </w:r>
        <w:proofErr w:type="gram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mechanical and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humoral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control of specificity in nerve repair. In: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Gelberman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>, (Eds.), Operative Nerve Repair, JB Lippincott, Philadelphia, USA, pp. 215-230.</w:t>
        </w:r>
      </w:hyperlink>
      <w:r w:rsidR="005379C0" w:rsidRPr="00D5550C">
        <w:rPr>
          <w:rFonts w:ascii="Cambria" w:hAnsi="Cambria"/>
          <w:sz w:val="16"/>
          <w:szCs w:val="16"/>
        </w:rPr>
        <w:t xml:space="preserve"> </w:t>
      </w:r>
    </w:p>
    <w:p w:rsidR="005379C0" w:rsidRPr="00D5550C" w:rsidRDefault="005379C0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proofErr w:type="spellStart"/>
      <w:r w:rsidRPr="00D5550C">
        <w:rPr>
          <w:rFonts w:ascii="Cambria" w:hAnsi="Cambria"/>
          <w:sz w:val="16"/>
          <w:szCs w:val="16"/>
        </w:rPr>
        <w:t>Brushart</w:t>
      </w:r>
      <w:proofErr w:type="spellEnd"/>
      <w:r w:rsidRPr="00D5550C">
        <w:rPr>
          <w:rFonts w:ascii="Cambria" w:hAnsi="Cambria"/>
          <w:sz w:val="16"/>
          <w:szCs w:val="16"/>
        </w:rPr>
        <w:t xml:space="preserve"> T (1999) Nerve repair and grafting. In: Green DP, et al. (Eds.), Green's Operative Hand Surgery. (</w:t>
      </w:r>
      <w:r w:rsidRPr="00D5550C">
        <w:rPr>
          <w:rFonts w:ascii="Cambria" w:hAnsi="Cambria"/>
          <w:color w:val="FF0000"/>
          <w:sz w:val="16"/>
          <w:szCs w:val="16"/>
        </w:rPr>
        <w:t>4</w:t>
      </w:r>
      <w:r w:rsidRPr="00D5550C">
        <w:rPr>
          <w:rFonts w:ascii="Cambria" w:hAnsi="Cambria"/>
          <w:color w:val="FF0000"/>
          <w:sz w:val="16"/>
          <w:szCs w:val="16"/>
          <w:vertAlign w:val="superscript"/>
        </w:rPr>
        <w:t xml:space="preserve">th </w:t>
      </w:r>
      <w:proofErr w:type="spellStart"/>
      <w:r w:rsidRPr="00D5550C">
        <w:rPr>
          <w:rFonts w:ascii="Cambria" w:hAnsi="Cambria"/>
          <w:sz w:val="16"/>
          <w:szCs w:val="16"/>
        </w:rPr>
        <w:t>edn</w:t>
      </w:r>
      <w:proofErr w:type="spellEnd"/>
      <w:r w:rsidRPr="00D5550C">
        <w:rPr>
          <w:rFonts w:ascii="Cambria" w:hAnsi="Cambria"/>
          <w:sz w:val="16"/>
          <w:szCs w:val="16"/>
        </w:rPr>
        <w:t>), Philadelphia, USA, pp. 1386-1390.</w:t>
      </w:r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11" w:history="1"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Lundborg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G (1987) Nerve regeneration and repair: a review.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Acta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Orthop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Scand 58(2):</w:t>
        </w:r>
        <w:r w:rsidR="00D5550C">
          <w:rPr>
            <w:rStyle w:val="Hyperlink"/>
            <w:rFonts w:ascii="Cambria" w:hAnsi="Cambria"/>
            <w:sz w:val="16"/>
            <w:szCs w:val="16"/>
          </w:rPr>
          <w:t xml:space="preserve"> </w:t>
        </w:r>
        <w:r w:rsidR="005379C0" w:rsidRPr="00D5550C">
          <w:rPr>
            <w:rStyle w:val="Hyperlink"/>
            <w:rFonts w:ascii="Cambria" w:hAnsi="Cambria"/>
            <w:sz w:val="16"/>
            <w:szCs w:val="16"/>
          </w:rPr>
          <w:t>145-169.</w:t>
        </w:r>
      </w:hyperlink>
    </w:p>
    <w:p w:rsidR="005379C0" w:rsidRPr="00D5550C" w:rsidRDefault="005379C0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proofErr w:type="spellStart"/>
      <w:r w:rsidRPr="00D5550C">
        <w:rPr>
          <w:rFonts w:ascii="Cambria" w:hAnsi="Cambria"/>
          <w:sz w:val="16"/>
          <w:szCs w:val="16"/>
        </w:rPr>
        <w:t>Lundborg</w:t>
      </w:r>
      <w:proofErr w:type="spellEnd"/>
      <w:r w:rsidRPr="00D5550C">
        <w:rPr>
          <w:rFonts w:ascii="Cambria" w:hAnsi="Cambria"/>
          <w:sz w:val="16"/>
          <w:szCs w:val="16"/>
        </w:rPr>
        <w:t xml:space="preserve"> G, </w:t>
      </w:r>
      <w:proofErr w:type="spellStart"/>
      <w:r w:rsidRPr="00D5550C">
        <w:rPr>
          <w:rFonts w:ascii="Cambria" w:hAnsi="Cambria"/>
          <w:sz w:val="16"/>
          <w:szCs w:val="16"/>
        </w:rPr>
        <w:t>Dahlin</w:t>
      </w:r>
      <w:proofErr w:type="spellEnd"/>
      <w:r w:rsidRPr="00D5550C">
        <w:rPr>
          <w:rFonts w:ascii="Cambria" w:hAnsi="Cambria"/>
          <w:sz w:val="16"/>
          <w:szCs w:val="16"/>
        </w:rPr>
        <w:t xml:space="preserve"> LB (1991) Structure and function of peripheral nerve. Operative Nerve Repair and Reconstruction. </w:t>
      </w:r>
      <w:proofErr w:type="spellStart"/>
      <w:r w:rsidRPr="00D5550C">
        <w:rPr>
          <w:rFonts w:ascii="Cambria" w:hAnsi="Cambria"/>
          <w:sz w:val="16"/>
          <w:szCs w:val="16"/>
        </w:rPr>
        <w:t>Gelberman</w:t>
      </w:r>
      <w:proofErr w:type="spellEnd"/>
      <w:r w:rsidRPr="00D5550C">
        <w:rPr>
          <w:rFonts w:ascii="Cambria" w:hAnsi="Cambria"/>
          <w:sz w:val="16"/>
          <w:szCs w:val="16"/>
        </w:rPr>
        <w:t xml:space="preserve"> RH (Ed.), JB Lippincott, Philadelphia, USA, p</w:t>
      </w:r>
      <w:r w:rsidR="00D5550C">
        <w:rPr>
          <w:rFonts w:ascii="Cambria" w:hAnsi="Cambria"/>
          <w:sz w:val="16"/>
          <w:szCs w:val="16"/>
        </w:rPr>
        <w:t>.</w:t>
      </w:r>
      <w:r w:rsidRPr="00D5550C">
        <w:rPr>
          <w:rFonts w:ascii="Cambria" w:hAnsi="Cambria"/>
          <w:sz w:val="16"/>
          <w:szCs w:val="16"/>
        </w:rPr>
        <w:t xml:space="preserve"> 10.</w:t>
      </w:r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12" w:history="1">
        <w:proofErr w:type="spellStart"/>
        <w:proofErr w:type="gram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Millesi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 H</w:t>
        </w:r>
        <w:proofErr w:type="gram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(2001) Techniques for nerve grafting. Hand Clinics 16(1): 73-91.</w:t>
        </w:r>
      </w:hyperlink>
    </w:p>
    <w:p w:rsidR="005379C0" w:rsidRPr="00D5550C" w:rsidRDefault="00E4521A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hyperlink r:id="rId13" w:history="1"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Millesi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H (1985) Peripheral nerve repair: terminology, questions, and facts. J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Reconstr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</w:t>
        </w:r>
        <w:proofErr w:type="spellStart"/>
        <w:r w:rsidR="005379C0" w:rsidRPr="00D5550C">
          <w:rPr>
            <w:rStyle w:val="Hyperlink"/>
            <w:rFonts w:ascii="Cambria" w:hAnsi="Cambria"/>
            <w:sz w:val="16"/>
            <w:szCs w:val="16"/>
          </w:rPr>
          <w:t>Microsurg</w:t>
        </w:r>
        <w:proofErr w:type="spellEnd"/>
        <w:r w:rsidR="005379C0" w:rsidRPr="00D5550C">
          <w:rPr>
            <w:rStyle w:val="Hyperlink"/>
            <w:rFonts w:ascii="Cambria" w:hAnsi="Cambria"/>
            <w:sz w:val="16"/>
            <w:szCs w:val="16"/>
          </w:rPr>
          <w:t xml:space="preserve"> 2(1): 21-31.</w:t>
        </w:r>
      </w:hyperlink>
    </w:p>
    <w:p w:rsidR="005379C0" w:rsidRPr="00D5550C" w:rsidRDefault="005379C0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r w:rsidRPr="00D5550C">
        <w:rPr>
          <w:rFonts w:ascii="Cambria" w:hAnsi="Cambria"/>
          <w:sz w:val="16"/>
          <w:szCs w:val="16"/>
        </w:rPr>
        <w:t xml:space="preserve">Griffin JW, Hoffman PN (1992) Degeneration and regeneration in the peripheral nervous system. Peripheral Neuropathy. </w:t>
      </w:r>
      <w:proofErr w:type="spellStart"/>
      <w:r w:rsidRPr="00D5550C">
        <w:rPr>
          <w:rFonts w:ascii="Cambria" w:hAnsi="Cambria"/>
          <w:sz w:val="16"/>
          <w:szCs w:val="16"/>
        </w:rPr>
        <w:t>Dyck</w:t>
      </w:r>
      <w:proofErr w:type="spellEnd"/>
      <w:r w:rsidRPr="00D5550C">
        <w:rPr>
          <w:rFonts w:ascii="Cambria" w:hAnsi="Cambria"/>
          <w:sz w:val="16"/>
          <w:szCs w:val="16"/>
        </w:rPr>
        <w:t xml:space="preserve"> PJ, et al. (Eds.), Saunders, Philadelphia, USA, pp. 361-376.</w:t>
      </w:r>
    </w:p>
    <w:p w:rsidR="00D5550C" w:rsidRPr="00D5550C" w:rsidRDefault="00D5550C" w:rsidP="00D5550C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b/>
          <w:bCs/>
          <w:sz w:val="16"/>
          <w:szCs w:val="16"/>
        </w:rPr>
      </w:pPr>
      <w:r w:rsidRPr="00D5550C">
        <w:rPr>
          <w:rFonts w:ascii="Cambria" w:hAnsi="Cambria"/>
          <w:sz w:val="16"/>
          <w:szCs w:val="16"/>
        </w:rPr>
        <w:t xml:space="preserve">Barros de </w:t>
      </w:r>
      <w:proofErr w:type="spellStart"/>
      <w:r w:rsidRPr="00D5550C">
        <w:rPr>
          <w:rFonts w:ascii="Cambria" w:hAnsi="Cambria"/>
          <w:sz w:val="16"/>
          <w:szCs w:val="16"/>
        </w:rPr>
        <w:t>Abreu</w:t>
      </w:r>
      <w:proofErr w:type="spellEnd"/>
      <w:r w:rsidRPr="00D5550C">
        <w:rPr>
          <w:rFonts w:ascii="Cambria" w:hAnsi="Cambria"/>
          <w:sz w:val="16"/>
          <w:szCs w:val="16"/>
        </w:rPr>
        <w:t xml:space="preserve"> L (1997) Upper extremity nerve lesions (diagnosis, indications, surgical techniques). </w:t>
      </w:r>
      <w:r w:rsidRPr="00D5550C">
        <w:rPr>
          <w:rFonts w:ascii="Cambria" w:hAnsi="Cambria"/>
          <w:bCs/>
          <w:sz w:val="16"/>
          <w:szCs w:val="16"/>
        </w:rPr>
        <w:t>Sao Paulo Med J 115(4).</w:t>
      </w:r>
    </w:p>
    <w:p w:rsidR="00D5550C" w:rsidRDefault="00D5550C" w:rsidP="005379C0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ambria" w:hAnsi="Cambria"/>
          <w:sz w:val="16"/>
          <w:szCs w:val="16"/>
        </w:rPr>
      </w:pPr>
      <w:proofErr w:type="spellStart"/>
      <w:r w:rsidRPr="00D5550C">
        <w:rPr>
          <w:rFonts w:ascii="Cambria" w:hAnsi="Cambria"/>
          <w:sz w:val="16"/>
          <w:szCs w:val="16"/>
        </w:rPr>
        <w:t>Midha</w:t>
      </w:r>
      <w:proofErr w:type="spellEnd"/>
      <w:r w:rsidRPr="00D5550C">
        <w:rPr>
          <w:rFonts w:ascii="Cambria" w:hAnsi="Cambria"/>
          <w:sz w:val="16"/>
          <w:szCs w:val="16"/>
        </w:rPr>
        <w:t xml:space="preserve"> R, Lee P, Mackay M (2007) </w:t>
      </w:r>
      <w:proofErr w:type="gramStart"/>
      <w:r w:rsidRPr="00D5550C">
        <w:rPr>
          <w:rFonts w:ascii="Cambria" w:hAnsi="Cambria"/>
          <w:sz w:val="16"/>
          <w:szCs w:val="16"/>
        </w:rPr>
        <w:t>Surgical</w:t>
      </w:r>
      <w:proofErr w:type="gramEnd"/>
      <w:r w:rsidRPr="00D5550C">
        <w:rPr>
          <w:rFonts w:ascii="Cambria" w:hAnsi="Cambria"/>
          <w:sz w:val="16"/>
          <w:szCs w:val="16"/>
        </w:rPr>
        <w:t xml:space="preserve"> techniques for peripheral nerve repair. In: </w:t>
      </w:r>
      <w:proofErr w:type="spellStart"/>
      <w:r w:rsidRPr="00D5550C">
        <w:rPr>
          <w:rFonts w:ascii="Cambria" w:hAnsi="Cambria"/>
          <w:sz w:val="16"/>
          <w:szCs w:val="16"/>
        </w:rPr>
        <w:t>Wolfa</w:t>
      </w:r>
      <w:proofErr w:type="spellEnd"/>
      <w:r w:rsidRPr="00D5550C">
        <w:rPr>
          <w:rFonts w:ascii="Cambria" w:hAnsi="Cambria"/>
          <w:sz w:val="16"/>
          <w:szCs w:val="16"/>
        </w:rPr>
        <w:t xml:space="preserve"> CE &amp; </w:t>
      </w:r>
      <w:proofErr w:type="spellStart"/>
      <w:r w:rsidRPr="00D5550C">
        <w:rPr>
          <w:rFonts w:ascii="Cambria" w:hAnsi="Cambria"/>
          <w:sz w:val="16"/>
          <w:szCs w:val="16"/>
        </w:rPr>
        <w:t>Resnick</w:t>
      </w:r>
      <w:proofErr w:type="spellEnd"/>
      <w:r w:rsidRPr="00D5550C">
        <w:rPr>
          <w:rFonts w:ascii="Cambria" w:hAnsi="Cambria"/>
          <w:sz w:val="16"/>
          <w:szCs w:val="16"/>
        </w:rPr>
        <w:t xml:space="preserve"> DK (Eds.), Neurosurgical Operative Atlas, (</w:t>
      </w:r>
      <w:r w:rsidRPr="00D5550C">
        <w:rPr>
          <w:rFonts w:ascii="Cambria" w:hAnsi="Cambria"/>
          <w:color w:val="FF0000"/>
          <w:sz w:val="16"/>
          <w:szCs w:val="16"/>
        </w:rPr>
        <w:t>2</w:t>
      </w:r>
      <w:r w:rsidRPr="00D5550C">
        <w:rPr>
          <w:rFonts w:ascii="Cambria" w:hAnsi="Cambria"/>
          <w:color w:val="FF0000"/>
          <w:sz w:val="16"/>
          <w:szCs w:val="16"/>
          <w:vertAlign w:val="superscript"/>
        </w:rPr>
        <w:t>nd</w:t>
      </w:r>
      <w:r w:rsidRPr="00D5550C">
        <w:rPr>
          <w:rFonts w:ascii="Cambria" w:hAnsi="Cambria"/>
          <w:color w:val="FF0000"/>
          <w:sz w:val="16"/>
          <w:szCs w:val="16"/>
        </w:rPr>
        <w:t xml:space="preserve"> </w:t>
      </w:r>
      <w:proofErr w:type="spellStart"/>
      <w:r w:rsidRPr="00D5550C">
        <w:rPr>
          <w:rFonts w:ascii="Cambria" w:hAnsi="Cambria"/>
          <w:sz w:val="16"/>
          <w:szCs w:val="16"/>
        </w:rPr>
        <w:t>edn</w:t>
      </w:r>
      <w:proofErr w:type="spellEnd"/>
      <w:r w:rsidRPr="00D5550C">
        <w:rPr>
          <w:rFonts w:ascii="Cambria" w:hAnsi="Cambria"/>
          <w:sz w:val="16"/>
          <w:szCs w:val="16"/>
        </w:rPr>
        <w:t>). Spine and Peripheral Nerves. New</w:t>
      </w:r>
      <w:r w:rsidR="008169ED">
        <w:rPr>
          <w:rFonts w:ascii="Cambria" w:hAnsi="Cambria"/>
          <w:sz w:val="16"/>
          <w:szCs w:val="16"/>
        </w:rPr>
        <w:t xml:space="preserve"> </w:t>
      </w:r>
      <w:r w:rsidRPr="00D5550C">
        <w:rPr>
          <w:rFonts w:ascii="Cambria" w:hAnsi="Cambria"/>
          <w:sz w:val="16"/>
          <w:szCs w:val="16"/>
        </w:rPr>
        <w:t>York, USA, pp. 402-408.</w:t>
      </w:r>
    </w:p>
    <w:p w:rsidR="005379C0" w:rsidRPr="00D5550C" w:rsidRDefault="005379C0" w:rsidP="00D5550C">
      <w:pPr>
        <w:pStyle w:val="ListParagraph"/>
        <w:spacing w:after="0" w:line="360" w:lineRule="auto"/>
        <w:ind w:left="0"/>
        <w:jc w:val="both"/>
        <w:rPr>
          <w:rFonts w:ascii="Cambria" w:hAnsi="Cambria"/>
          <w:sz w:val="16"/>
          <w:szCs w:val="16"/>
        </w:rPr>
      </w:pPr>
    </w:p>
    <w:p w:rsidR="00E62446" w:rsidRPr="005379C0" w:rsidRDefault="00E62446" w:rsidP="005379C0">
      <w:pPr>
        <w:rPr>
          <w:szCs w:val="16"/>
        </w:rPr>
      </w:pPr>
    </w:p>
    <w:sectPr w:rsidR="00E62446" w:rsidRPr="005379C0" w:rsidSect="00D5550C">
      <w:headerReference w:type="default" r:id="rId14"/>
      <w:pgSz w:w="11906" w:h="16838"/>
      <w:pgMar w:top="1440" w:right="1800" w:bottom="1440" w:left="180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50C" w:rsidRDefault="00D5550C" w:rsidP="0094190F">
      <w:pPr>
        <w:spacing w:after="0" w:line="240" w:lineRule="auto"/>
      </w:pPr>
      <w:r>
        <w:separator/>
      </w:r>
    </w:p>
  </w:endnote>
  <w:endnote w:type="continuationSeparator" w:id="1">
    <w:p w:rsidR="00D5550C" w:rsidRDefault="00D5550C" w:rsidP="00941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50C" w:rsidRDefault="00D5550C" w:rsidP="0094190F">
      <w:pPr>
        <w:spacing w:after="0" w:line="240" w:lineRule="auto"/>
      </w:pPr>
      <w:r>
        <w:separator/>
      </w:r>
    </w:p>
  </w:footnote>
  <w:footnote w:type="continuationSeparator" w:id="1">
    <w:p w:rsidR="00D5550C" w:rsidRDefault="00D5550C" w:rsidP="00941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50C" w:rsidRDefault="00D555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774E"/>
    <w:multiLevelType w:val="hybridMultilevel"/>
    <w:tmpl w:val="C5748920"/>
    <w:lvl w:ilvl="0" w:tplc="01080B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646C"/>
    <w:rsid w:val="001707B1"/>
    <w:rsid w:val="002614B4"/>
    <w:rsid w:val="00443152"/>
    <w:rsid w:val="005379C0"/>
    <w:rsid w:val="008169ED"/>
    <w:rsid w:val="00876021"/>
    <w:rsid w:val="0094190F"/>
    <w:rsid w:val="00B369FF"/>
    <w:rsid w:val="00B46A3E"/>
    <w:rsid w:val="00D5550C"/>
    <w:rsid w:val="00E36E4A"/>
    <w:rsid w:val="00E4521A"/>
    <w:rsid w:val="00E62446"/>
    <w:rsid w:val="00E9646C"/>
    <w:rsid w:val="00F5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0F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5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  <w:rsid w:val="00E9646C"/>
  </w:style>
  <w:style w:type="character" w:styleId="Emphasis">
    <w:name w:val="Emphasis"/>
    <w:basedOn w:val="DefaultParagraphFont"/>
    <w:qFormat/>
    <w:rsid w:val="00E9646C"/>
    <w:rPr>
      <w:i/>
      <w:iCs/>
    </w:rPr>
  </w:style>
  <w:style w:type="paragraph" w:customStyle="1" w:styleId="TextBody">
    <w:name w:val="Text Body"/>
    <w:basedOn w:val="Normal"/>
    <w:rsid w:val="00E9646C"/>
    <w:pPr>
      <w:overflowPunct w:val="0"/>
      <w:spacing w:after="140" w:line="288" w:lineRule="auto"/>
    </w:pPr>
    <w:rPr>
      <w:rFonts w:ascii="Calibri" w:eastAsia="Calibri" w:hAnsi="Calibri" w:cs="Tahoma"/>
      <w:color w:val="00000A"/>
      <w:lang w:val="el-GR"/>
    </w:rPr>
  </w:style>
  <w:style w:type="paragraph" w:styleId="NormalWeb">
    <w:name w:val="Normal (Web)"/>
    <w:basedOn w:val="Normal"/>
    <w:uiPriority w:val="99"/>
    <w:qFormat/>
    <w:rsid w:val="00E9646C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E9646C"/>
    <w:pPr>
      <w:tabs>
        <w:tab w:val="center" w:pos="4513"/>
        <w:tab w:val="right" w:pos="9026"/>
      </w:tabs>
      <w:overflowPunct w:val="0"/>
      <w:spacing w:after="0" w:line="240" w:lineRule="auto"/>
    </w:pPr>
    <w:rPr>
      <w:rFonts w:ascii="Calibri" w:eastAsia="Calibri" w:hAnsi="Calibri" w:cs="Tahoma"/>
      <w:color w:val="00000A"/>
      <w:lang w:val="el-GR"/>
    </w:rPr>
  </w:style>
  <w:style w:type="character" w:customStyle="1" w:styleId="HeaderChar">
    <w:name w:val="Header Char"/>
    <w:basedOn w:val="DefaultParagraphFont"/>
    <w:link w:val="Header"/>
    <w:uiPriority w:val="99"/>
    <w:rsid w:val="00E9646C"/>
    <w:rPr>
      <w:rFonts w:ascii="Calibri" w:eastAsia="Calibri" w:hAnsi="Calibri" w:cs="Tahoma"/>
      <w:color w:val="00000A"/>
      <w:lang w:val="el-GR"/>
    </w:rPr>
  </w:style>
  <w:style w:type="paragraph" w:styleId="ListParagraph">
    <w:name w:val="List Paragraph"/>
    <w:basedOn w:val="Normal"/>
    <w:uiPriority w:val="34"/>
    <w:qFormat/>
    <w:rsid w:val="00170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07B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550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4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19682637" TargetMode="External"/><Relationship Id="rId13" Type="http://schemas.openxmlformats.org/officeDocument/2006/relationships/hyperlink" Target="http://www.ncbi.nlm.nih.gov/pubmed/388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16881066" TargetMode="External"/><Relationship Id="rId12" Type="http://schemas.openxmlformats.org/officeDocument/2006/relationships/hyperlink" Target="http://www.ncbi.nlm.nih.gov/pubmed/1069657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pubmed/330014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cience.report/pub/58381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/1607967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Hemakumari</dc:creator>
  <cp:keywords/>
  <dc:description/>
  <cp:lastModifiedBy>Hemakumari</cp:lastModifiedBy>
  <cp:revision>8</cp:revision>
  <dcterms:created xsi:type="dcterms:W3CDTF">2016-08-06T05:56:00Z</dcterms:created>
  <dcterms:modified xsi:type="dcterms:W3CDTF">2016-08-09T11:32:00Z</dcterms:modified>
</cp:coreProperties>
</file>